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096156" w14:textId="77777777" w:rsidR="00E23546" w:rsidRPr="0047045D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47045D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Załącznik nr 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>6</w:t>
      </w:r>
    </w:p>
    <w:p w14:paraId="2CE7ECF8" w14:textId="0A42F9C5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do uchwały nr 1</w:t>
      </w:r>
      <w:r w:rsidR="00880B4B">
        <w:rPr>
          <w:rFonts w:ascii="Times New Roman" w:eastAsia="Times New Roman" w:hAnsi="Times New Roman" w:cs="Times New Roman"/>
          <w:sz w:val="20"/>
          <w:szCs w:val="20"/>
          <w:lang w:eastAsia="pl-PL"/>
        </w:rPr>
        <w:t>45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</w:t>
      </w:r>
      <w:r w:rsidR="00880B4B">
        <w:rPr>
          <w:rFonts w:ascii="Times New Roman" w:eastAsia="Times New Roman" w:hAnsi="Times New Roman" w:cs="Times New Roman"/>
          <w:sz w:val="20"/>
          <w:szCs w:val="20"/>
          <w:lang w:eastAsia="pl-PL"/>
        </w:rPr>
        <w:t>10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/2022</w:t>
      </w:r>
    </w:p>
    <w:p w14:paraId="587ABFEE" w14:textId="77777777" w:rsidR="00E23546" w:rsidRPr="00852F97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Komisji Egzaminacyjnej</w:t>
      </w:r>
    </w:p>
    <w:p w14:paraId="7822057E" w14:textId="6D1298EB" w:rsidR="00E23546" w:rsidRDefault="00E23546" w:rsidP="00E23546">
      <w:pPr>
        <w:spacing w:after="0" w:line="240" w:lineRule="auto"/>
        <w:ind w:firstLine="11907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>z dnia 2</w:t>
      </w:r>
      <w:r w:rsidR="00880B4B">
        <w:rPr>
          <w:rFonts w:ascii="Times New Roman" w:eastAsia="Times New Roman" w:hAnsi="Times New Roman" w:cs="Times New Roman"/>
          <w:sz w:val="20"/>
          <w:szCs w:val="20"/>
          <w:lang w:eastAsia="pl-PL"/>
        </w:rPr>
        <w:t>1 października</w:t>
      </w:r>
      <w:r w:rsidRPr="00852F97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2022</w:t>
      </w:r>
      <w:r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r.</w:t>
      </w:r>
    </w:p>
    <w:p w14:paraId="4C39B287" w14:textId="77777777" w:rsidR="00E23546" w:rsidRPr="004C17DB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4C17DB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B) </w:t>
      </w:r>
    </w:p>
    <w:p w14:paraId="24BF5239" w14:textId="77777777" w:rsidR="004C17DB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F26BF6">
        <w:rPr>
          <w:rFonts w:ascii="Times New Roman" w:eastAsia="Times New Roman" w:hAnsi="Times New Roman" w:cs="Times New Roman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5C82B357" w14:textId="5AC225A1" w:rsidR="00E23546" w:rsidRPr="00F26BF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F26BF6">
        <w:rPr>
          <w:rFonts w:ascii="Times New Roman" w:eastAsia="Times New Roman" w:hAnsi="Times New Roman" w:cs="Times New Roman"/>
          <w:szCs w:val="24"/>
          <w:lang w:eastAsia="pl-PL"/>
        </w:rPr>
        <w:t>w postępowaniu kwalifikacyjnym</w:t>
      </w:r>
    </w:p>
    <w:p w14:paraId="652A71EB" w14:textId="7C528615" w:rsidR="004C17DB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hAnsi="Times New Roman" w:cs="Times New Roman"/>
          <w:bCs/>
          <w:i/>
          <w:szCs w:val="24"/>
        </w:rPr>
      </w:pPr>
      <w:r w:rsidRPr="004C17DB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 1273/30/2017 Krajowej Rady Biegłych Rewidentów z dnia 5 września 2017 r. w sprawie szczegółowego zakresu tematycznego egzaminów w</w:t>
      </w:r>
      <w:r w:rsidR="004C17DB">
        <w:rPr>
          <w:rFonts w:ascii="Times New Roman" w:eastAsia="Times New Roman" w:hAnsi="Times New Roman" w:cs="Times New Roman"/>
          <w:i/>
          <w:szCs w:val="24"/>
          <w:lang w:eastAsia="pl-PL"/>
        </w:rPr>
        <w:t> </w:t>
      </w:r>
      <w:r w:rsidRPr="004C17DB">
        <w:rPr>
          <w:rFonts w:ascii="Times New Roman" w:eastAsia="Times New Roman" w:hAnsi="Times New Roman" w:cs="Times New Roman"/>
          <w:i/>
          <w:szCs w:val="24"/>
          <w:lang w:eastAsia="pl-PL"/>
        </w:rPr>
        <w:t>postępowaniu kwalifikacyjnym na biegłych rewidentów</w:t>
      </w:r>
      <w:r w:rsidR="00473D76" w:rsidRPr="004C17DB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</w:t>
      </w:r>
      <w:r w:rsidR="00473D76" w:rsidRPr="004C17DB">
        <w:rPr>
          <w:rFonts w:ascii="Times New Roman" w:hAnsi="Times New Roman" w:cs="Times New Roman"/>
          <w:bCs/>
          <w:i/>
          <w:szCs w:val="24"/>
        </w:rPr>
        <w:t>zmienion</w:t>
      </w:r>
      <w:r w:rsidR="00F26BF6" w:rsidRPr="004C17DB">
        <w:rPr>
          <w:rFonts w:ascii="Times New Roman" w:hAnsi="Times New Roman" w:cs="Times New Roman"/>
          <w:bCs/>
          <w:i/>
          <w:szCs w:val="24"/>
        </w:rPr>
        <w:t>ej</w:t>
      </w:r>
      <w:r w:rsidR="00473D76" w:rsidRPr="004C17DB">
        <w:rPr>
          <w:rFonts w:ascii="Times New Roman" w:hAnsi="Times New Roman" w:cs="Times New Roman"/>
          <w:bCs/>
          <w:i/>
          <w:szCs w:val="24"/>
        </w:rPr>
        <w:t xml:space="preserve"> uchwałą Nr 2336/42/2022 Krajowej Rady Biegłych Rewidentów z dnia  30 sierpnia 2022 r. </w:t>
      </w:r>
    </w:p>
    <w:p w14:paraId="1D2709B1" w14:textId="28613BCF" w:rsidR="00E23546" w:rsidRPr="00F26BF6" w:rsidRDefault="00473D7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4C17DB">
        <w:rPr>
          <w:rFonts w:ascii="Times New Roman" w:hAnsi="Times New Roman" w:cs="Times New Roman"/>
          <w:bCs/>
          <w:szCs w:val="24"/>
        </w:rPr>
        <w:t>w przedmiocie</w:t>
      </w:r>
      <w:r w:rsidRPr="00F26BF6">
        <w:rPr>
          <w:rFonts w:ascii="Times New Roman" w:hAnsi="Times New Roman" w:cs="Times New Roman"/>
          <w:bCs/>
          <w:szCs w:val="24"/>
        </w:rPr>
        <w:t xml:space="preserve"> zmiany uchwały w sprawie szczegółowego zakresu tematycznego egzaminów w postępowaniu kwalifikacyjnym na biegłych rewidentów</w:t>
      </w:r>
      <w:r w:rsidR="00E23546" w:rsidRPr="00F26BF6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)  </w:t>
      </w:r>
    </w:p>
    <w:p w14:paraId="7DAB9327" w14:textId="77777777" w:rsidR="00E23546" w:rsidRPr="00F26BF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color w:val="002060"/>
          <w:sz w:val="18"/>
          <w:szCs w:val="18"/>
          <w:lang w:eastAsia="pl-PL"/>
        </w:rPr>
      </w:pPr>
    </w:p>
    <w:p w14:paraId="3A3946CA" w14:textId="77777777" w:rsidR="00E23546" w:rsidRPr="004C17DB" w:rsidRDefault="00916301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bookmarkStart w:id="1" w:name="_Toc101960240"/>
      <w:r w:rsidRPr="004C17D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End w:id="1"/>
    </w:p>
    <w:p w14:paraId="425D8488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8327FE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26D6E7BD" w14:textId="77777777" w:rsidR="004C17DB" w:rsidRPr="008327FE" w:rsidRDefault="004C17DB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9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594"/>
        <w:gridCol w:w="3828"/>
        <w:gridCol w:w="3685"/>
      </w:tblGrid>
      <w:tr w:rsidR="00E23546" w:rsidRPr="008327FE" w14:paraId="29153DA1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18B22462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052A885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Tematy znajdujące odzwierciedlenie w programach zdanego przedmiotu </w:t>
            </w:r>
          </w:p>
          <w:p w14:paraId="4BBC2E31" w14:textId="77777777" w:rsidR="00E23546" w:rsidRPr="008327FE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0D44F26F" w14:textId="77777777" w:rsidR="00E23546" w:rsidRPr="008327FE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8327FE" w14:paraId="092A9DA8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2EEA10E5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594" w:type="dxa"/>
            <w:shd w:val="clear" w:color="auto" w:fill="D4A7B0"/>
          </w:tcPr>
          <w:p w14:paraId="6496FF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FC18CB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0F407A5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Nazwa przedmiotu</w:t>
            </w:r>
          </w:p>
          <w:p w14:paraId="37A2FD81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2E40ECA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 w:rsidRPr="008327FE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2"/>
            </w:r>
          </w:p>
          <w:p w14:paraId="02181575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828" w:type="dxa"/>
            <w:shd w:val="clear" w:color="auto" w:fill="D4A7B0"/>
          </w:tcPr>
          <w:p w14:paraId="70FBD43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080920FD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6143422E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2 przedmiotu </w:t>
            </w:r>
          </w:p>
          <w:p w14:paraId="6C4EC85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5694F9C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41FD39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404F90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DD1A19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Nazwa 3 przedmiotu </w:t>
            </w:r>
          </w:p>
          <w:p w14:paraId="5E2FD100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6B71D5F9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8327FE" w14:paraId="5B90C271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42EEF499" w14:textId="77777777" w:rsidR="00E23546" w:rsidRPr="008327FE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594" w:type="dxa"/>
            <w:shd w:val="clear" w:color="auto" w:fill="D4A7B0"/>
          </w:tcPr>
          <w:p w14:paraId="642A5EC2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828" w:type="dxa"/>
            <w:shd w:val="clear" w:color="auto" w:fill="D4A7B0"/>
          </w:tcPr>
          <w:p w14:paraId="488215C3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4189B926" w14:textId="77777777" w:rsidR="00E23546" w:rsidRPr="008327FE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8327FE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471172" w:rsidRPr="008327FE" w14:paraId="53AF66C3" w14:textId="77777777" w:rsidTr="005929A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</w:tcPr>
          <w:p w14:paraId="31068586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623D267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5EFA8E2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4D2D75D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640DBD7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7E2AB008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46B02462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E7098A5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9.2. Roczne i śródroczne jednostkowe sprawozdanie finansowe banków, zakładów ubezpieczeń i innych instytucji finansowych oraz pozostałych jednostek</w:t>
            </w:r>
          </w:p>
          <w:p w14:paraId="709CD1FF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4B311EB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9.2.2. Ciągłość bilansowa, układ bilansu/sprawozdania z sytuacji finansowej i treść ekonomiczna poszczególnych jego części.</w:t>
            </w:r>
          </w:p>
          <w:p w14:paraId="367549A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4C972AF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5E5902E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17D12D5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4EC518C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7A5470A4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9.2.8. Sprawozdanie/oświadczenie na temat informacji niefinansowych</w:t>
            </w:r>
          </w:p>
          <w:p w14:paraId="1472486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9.2.9. Sprawozdanie z płatności na rzecz administracji publicznej</w:t>
            </w:r>
          </w:p>
          <w:p w14:paraId="7F51596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9.2.10. Części składowe sprawozdania finansowego jednostki, w skład której wchodzą wewnętrzne jednostki sporządzające samodzielnie sprawozdania finansowe.</w:t>
            </w:r>
          </w:p>
          <w:p w14:paraId="6EDEF1FF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9.2.11. Wymagania prawa podatkowego odnoszące się do jednostkowych rocznych sprawozdań finansowych.</w:t>
            </w:r>
          </w:p>
          <w:p w14:paraId="79F6A4F7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6239623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9.3. Roczne skonsolidowane sprawozdanie finansowe grupy kapitałowej</w:t>
            </w:r>
          </w:p>
          <w:p w14:paraId="1E4380A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1EAC3D0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9.3.2. Elementy rocznych skonsolidowanych sprawozdań finansowych.</w:t>
            </w:r>
          </w:p>
          <w:p w14:paraId="50ADD04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371CA12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605FB2E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525E4DC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06DAEF04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18101B83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3CFC26C3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3067ED31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1E034F4A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00057F3C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DEEE0DC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00353D61" w14:textId="77777777" w:rsidR="00471172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807168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7B8B5AFA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2C2E19DF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7FA33F06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34B5C02B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3B99F62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C862445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612A319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2ABCAB5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2305373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A24FFD2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9.5.10. Analiza progu rentowności, wspomagania operacyjnego i finansowego.</w:t>
            </w:r>
          </w:p>
          <w:p w14:paraId="1876DAE8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9.5.11. Analiza symptomów zagrożenia jednostki upadłością.</w:t>
            </w:r>
          </w:p>
          <w:p w14:paraId="22B8B1E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28E9B0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53DF2647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9.5.14. Metodyka pomiaru rozwoju zrównoważonego przez integrację kwestii finansowych , społecznych i środowiskowych </w:t>
            </w:r>
          </w:p>
          <w:p w14:paraId="32CC427E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9.5.15. Mierniki i wskaźniki rozwoju zrównoważonego (ekonomicznego, środowiskowego, społecznego) </w:t>
            </w:r>
          </w:p>
          <w:p w14:paraId="611FA74D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9.5.16. Elementy przyczynowo-skutkowego systemu mierników i wskaźników rozwoju zrównoważonego przedsiębiorstwa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(zasoby i uwarunkowania, procesy, zrównoważone rezultaty, reakcje interesariuszy, wyniki finansowe)</w:t>
            </w:r>
          </w:p>
          <w:p w14:paraId="16621269" w14:textId="77777777" w:rsidR="00471172" w:rsidRPr="00D57E17" w:rsidRDefault="00471172" w:rsidP="004711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9.5.17. Zintegrowane narzędzia pomiaru rozwoju zrównoważonego: zrównoważony model Du Ponta, zrównoważona karta wyników, London Benchmarking Group Model (LBG Model) </w:t>
            </w:r>
          </w:p>
          <w:p w14:paraId="4B690D07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182598F1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9.6 Raportowanie niefinansowe</w:t>
            </w:r>
          </w:p>
          <w:p w14:paraId="75690F64" w14:textId="77777777" w:rsidR="00471172" w:rsidRPr="00D57E17" w:rsidRDefault="00471172" w:rsidP="00471172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Geneza i terminy związane z raportowaniem niefinansowym.</w:t>
            </w:r>
          </w:p>
          <w:p w14:paraId="5A807839" w14:textId="77777777" w:rsidR="00471172" w:rsidRPr="00D57E17" w:rsidRDefault="00471172" w:rsidP="00471172">
            <w:pPr>
              <w:ind w:firstLine="31"/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9.6.2. Wytyczne GRI – główne założenia.</w:t>
            </w:r>
          </w:p>
          <w:p w14:paraId="0D90F728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9.6.3. GRI a inne systemy raportowania niefinansowego.</w:t>
            </w:r>
          </w:p>
          <w:p w14:paraId="0D6661D9" w14:textId="77777777" w:rsidR="00471172" w:rsidRDefault="00471172" w:rsidP="00471172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3D03DBF3" w14:textId="36AD2B45" w:rsidR="00471172" w:rsidRPr="008327FE" w:rsidRDefault="00471172" w:rsidP="00471172"/>
        </w:tc>
        <w:tc>
          <w:tcPr>
            <w:tcW w:w="3594" w:type="dxa"/>
          </w:tcPr>
          <w:p w14:paraId="5819C5A1" w14:textId="77777777" w:rsidR="00471172" w:rsidRPr="008327FE" w:rsidRDefault="00471172" w:rsidP="00471172"/>
        </w:tc>
        <w:tc>
          <w:tcPr>
            <w:tcW w:w="3828" w:type="dxa"/>
          </w:tcPr>
          <w:p w14:paraId="6FBF8ED9" w14:textId="77777777" w:rsidR="00471172" w:rsidRPr="008327FE" w:rsidRDefault="00471172" w:rsidP="00471172"/>
        </w:tc>
        <w:tc>
          <w:tcPr>
            <w:tcW w:w="3685" w:type="dxa"/>
          </w:tcPr>
          <w:p w14:paraId="22D8011C" w14:textId="77777777" w:rsidR="00471172" w:rsidRPr="008327FE" w:rsidRDefault="00471172" w:rsidP="00471172"/>
        </w:tc>
      </w:tr>
    </w:tbl>
    <w:p w14:paraId="0B062DA5" w14:textId="77777777" w:rsidR="00E23546" w:rsidRDefault="00E23546" w:rsidP="00806D9C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  <w:sectPr w:rsidR="00E23546" w:rsidSect="00B74DD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footnotePr>
            <w:numRestart w:val="eachPage"/>
          </w:footnotePr>
          <w:pgSz w:w="16838" w:h="11906" w:orient="landscape"/>
          <w:pgMar w:top="851" w:right="568" w:bottom="1417" w:left="993" w:header="708" w:footer="708" w:gutter="0"/>
          <w:cols w:space="708"/>
          <w:docGrid w:linePitch="360"/>
        </w:sectPr>
      </w:pPr>
    </w:p>
    <w:p w14:paraId="0711CE83" w14:textId="77777777" w:rsidR="00E5717C" w:rsidRDefault="00E5717C" w:rsidP="00806D9C"/>
    <w:sectPr w:rsidR="00E57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9F2AF6" w14:textId="77777777" w:rsidR="00417E93" w:rsidRDefault="00417E93" w:rsidP="00E23546">
      <w:pPr>
        <w:spacing w:after="0" w:line="240" w:lineRule="auto"/>
      </w:pPr>
      <w:r>
        <w:separator/>
      </w:r>
    </w:p>
  </w:endnote>
  <w:endnote w:type="continuationSeparator" w:id="0">
    <w:p w14:paraId="03C7E2CF" w14:textId="77777777" w:rsidR="00417E93" w:rsidRDefault="00417E93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0DA53A" w14:textId="77777777" w:rsidR="00916301" w:rsidRDefault="0091630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06318961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17DB">
          <w:rPr>
            <w:noProof/>
          </w:rPr>
          <w:t>1</w:t>
        </w:r>
        <w:r>
          <w:fldChar w:fldCharType="end"/>
        </w:r>
      </w:p>
    </w:sdtContent>
  </w:sdt>
  <w:p w14:paraId="3570102D" w14:textId="77777777" w:rsidR="00E23546" w:rsidRDefault="00E23546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18B465" w14:textId="77777777" w:rsidR="00916301" w:rsidRDefault="009163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18AD76" w14:textId="77777777" w:rsidR="00417E93" w:rsidRDefault="00417E93" w:rsidP="00E23546">
      <w:pPr>
        <w:spacing w:after="0" w:line="240" w:lineRule="auto"/>
      </w:pPr>
      <w:r>
        <w:separator/>
      </w:r>
    </w:p>
  </w:footnote>
  <w:footnote w:type="continuationSeparator" w:id="0">
    <w:p w14:paraId="7BB0C3A2" w14:textId="77777777" w:rsidR="00417E93" w:rsidRDefault="00417E93" w:rsidP="00E23546">
      <w:pPr>
        <w:spacing w:after="0" w:line="240" w:lineRule="auto"/>
      </w:pPr>
      <w:r>
        <w:continuationSeparator/>
      </w:r>
    </w:p>
  </w:footnote>
  <w:footnote w:id="1">
    <w:p w14:paraId="114578C8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  <w:r w:rsidRPr="00B9092E">
        <w:rPr>
          <w:rStyle w:val="Odwoanieprzypisudolnego"/>
          <w:sz w:val="18"/>
          <w:szCs w:val="18"/>
        </w:rPr>
        <w:footnoteRef/>
      </w:r>
      <w:r w:rsidRPr="00B9092E">
        <w:rPr>
          <w:sz w:val="18"/>
          <w:szCs w:val="18"/>
        </w:rPr>
        <w:t xml:space="preserve"> Wpisuje się treści wynikające z sylabusa/karty, które odpowiadają zakresowi wiedzy wymaganemu przez Komisję Egzaminacyjną.</w:t>
      </w:r>
    </w:p>
    <w:p w14:paraId="313756DE" w14:textId="77777777" w:rsidR="00E23546" w:rsidRPr="00B9092E" w:rsidRDefault="00E23546" w:rsidP="00E23546">
      <w:pPr>
        <w:pStyle w:val="Tekstprzypisudolnego"/>
        <w:rPr>
          <w:sz w:val="18"/>
          <w:szCs w:val="18"/>
        </w:rPr>
      </w:pPr>
    </w:p>
  </w:footnote>
  <w:footnote w:id="2">
    <w:p w14:paraId="330C3DB1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9092E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2F0257" w14:textId="77777777" w:rsidR="00916301" w:rsidRDefault="0091630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E857A1E" w14:textId="77777777" w:rsidR="00916301" w:rsidRDefault="00916301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A8D574" w14:textId="77777777" w:rsidR="00916301" w:rsidRDefault="0091630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413EAD"/>
    <w:rsid w:val="00417E93"/>
    <w:rsid w:val="00471172"/>
    <w:rsid w:val="00473D76"/>
    <w:rsid w:val="004C17DB"/>
    <w:rsid w:val="00723577"/>
    <w:rsid w:val="00806D9C"/>
    <w:rsid w:val="00880B4B"/>
    <w:rsid w:val="00916301"/>
    <w:rsid w:val="00965919"/>
    <w:rsid w:val="009A5ED9"/>
    <w:rsid w:val="00A74D25"/>
    <w:rsid w:val="00E23546"/>
    <w:rsid w:val="00E5717C"/>
    <w:rsid w:val="00F26BF6"/>
    <w:rsid w:val="00F61777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2EEEDB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06D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6D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783</Words>
  <Characters>4704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3</cp:revision>
  <dcterms:created xsi:type="dcterms:W3CDTF">2022-10-21T12:30:00Z</dcterms:created>
  <dcterms:modified xsi:type="dcterms:W3CDTF">2022-10-21T13:34:00Z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2022-10-03T18:31:00.4239677+02:00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GRN-1b2b7ea4-a7e1-4ec1-b5b6-6ddd13dab0fd</vt:lpwstr>
  </property>
  <property fmtid="{D5CDD505-2E9C-101B-9397-08002B2CF9AE}" pid="7" name="MFHash">
    <vt:lpwstr>BiK4u3AfCl/mGU5hBNKpHQ4fWZ8dTJGObzHyI7ZYbBI=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